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742729C" w:rsidR="00F92268" w:rsidRPr="00FF66BF" w:rsidRDefault="007B5C5C" w:rsidP="00F246C7">
            <w:pPr>
              <w:pStyle w:val="RefTableHeader"/>
            </w:pPr>
            <w:r>
              <w:t>2562-A</w:t>
            </w:r>
          </w:p>
        </w:tc>
      </w:tr>
    </w:tbl>
    <w:p w14:paraId="74FBA5B4" w14:textId="77777777" w:rsidR="00051356" w:rsidRPr="00633366" w:rsidRDefault="00051356" w:rsidP="00633366">
      <w:pPr>
        <w:pStyle w:val="BodyText"/>
        <w:spacing w:after="0"/>
        <w:rPr>
          <w:b/>
          <w:bCs/>
          <w:sz w:val="2"/>
          <w:szCs w:val="2"/>
        </w:rPr>
        <w:sectPr w:rsidR="00051356" w:rsidRPr="00633366" w:rsidSect="00633366">
          <w:headerReference w:type="default" r:id="rId12"/>
          <w:footerReference w:type="default" r:id="rId13"/>
          <w:footerReference w:type="first" r:id="rId14"/>
          <w:pgSz w:w="12240" w:h="15840" w:code="1"/>
          <w:pgMar w:top="900" w:right="720" w:bottom="990" w:left="720" w:header="720" w:footer="720" w:gutter="0"/>
          <w:paperSrc w:first="15" w:other="15"/>
          <w:cols w:space="720"/>
          <w:titlePg/>
          <w:docGrid w:linePitch="299"/>
        </w:sectPr>
      </w:pPr>
    </w:p>
    <w:p w14:paraId="55D071AE" w14:textId="2BEFCEFA" w:rsidR="00041200" w:rsidRPr="00041200" w:rsidRDefault="007B5C5C" w:rsidP="007B5C5C">
      <w:pPr>
        <w:pStyle w:val="Heading1"/>
      </w:pPr>
      <w:r w:rsidRPr="007B5C5C">
        <w:t>Specialty Guideline Management</w:t>
      </w:r>
      <w:r w:rsidRPr="00BD1CC1">
        <w:br/>
      </w:r>
      <w:r w:rsidRPr="007B5C5C">
        <w:t>Crysvita</w:t>
      </w:r>
    </w:p>
    <w:p w14:paraId="78861C92" w14:textId="29E40E89" w:rsidR="00203468" w:rsidRPr="00BD1CC1" w:rsidRDefault="00C64534" w:rsidP="008E0F0D">
      <w:pPr>
        <w:pStyle w:val="Heading2"/>
      </w:pPr>
      <w:r w:rsidRPr="00BD1CC1">
        <w:t xml:space="preserve">Products Referenced by this </w:t>
      </w:r>
      <w:r w:rsidR="00501602" w:rsidRPr="00BD1CC1">
        <w:t>Document</w:t>
      </w:r>
    </w:p>
    <w:p w14:paraId="07868740" w14:textId="2D0E5CB6" w:rsidR="00725714" w:rsidRDefault="00D82D85" w:rsidP="007B5C5C">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1F3A8F" w:rsidRPr="001F3A8F">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1722AD51" w:rsidR="005B4D7C" w:rsidRPr="00BD1CC1" w:rsidRDefault="007B5C5C">
            <w:pPr>
              <w:pStyle w:val="TableDataUnpadded"/>
            </w:pPr>
            <w:r w:rsidRPr="007B5C5C">
              <w:t xml:space="preserve">Crysvita </w:t>
            </w:r>
          </w:p>
        </w:tc>
        <w:tc>
          <w:tcPr>
            <w:tcW w:w="5595" w:type="dxa"/>
          </w:tcPr>
          <w:p w14:paraId="1A09710D" w14:textId="5B16D314" w:rsidR="005B4D7C" w:rsidRPr="00BD1CC1" w:rsidRDefault="007B5C5C">
            <w:pPr>
              <w:pStyle w:val="TableDataUnpadded"/>
            </w:pPr>
            <w:proofErr w:type="spellStart"/>
            <w:r w:rsidRPr="007B5C5C">
              <w:t>burosumab-twza</w:t>
            </w:r>
            <w:proofErr w:type="spellEnd"/>
          </w:p>
        </w:tc>
      </w:tr>
    </w:tbl>
    <w:p w14:paraId="14CE6108" w14:textId="1B077BC6" w:rsidR="00FC1AAD" w:rsidRDefault="00ED052F" w:rsidP="00AA2A94">
      <w:pPr>
        <w:pStyle w:val="Heading2"/>
        <w:tabs>
          <w:tab w:val="left" w:pos="9540"/>
        </w:tabs>
      </w:pPr>
      <w:r>
        <w:t>Indications</w:t>
      </w:r>
    </w:p>
    <w:p w14:paraId="1EA8D81F" w14:textId="5D0635B3" w:rsidR="007B5C5C" w:rsidRPr="007B5C5C" w:rsidRDefault="007B5C5C" w:rsidP="007B5C5C">
      <w:pPr>
        <w:pStyle w:val="BodyText"/>
      </w:pPr>
      <w:r w:rsidRPr="007B5C5C">
        <w:t>The indications below including FDA-approved indications and compendial uses are considered a covered benefit provided that all the approval criteria are met and the member has no exclusions to the prescribed therapy.</w:t>
      </w:r>
    </w:p>
    <w:p w14:paraId="134B5687" w14:textId="34CF750B" w:rsidR="00ED052F" w:rsidRDefault="00ED052F" w:rsidP="007B5C5C">
      <w:pPr>
        <w:pStyle w:val="Heading3"/>
        <w:keepNext w:val="0"/>
      </w:pPr>
      <w:r w:rsidRPr="00BD1CC1">
        <w:t>FDA-approved Indications</w:t>
      </w:r>
      <w:r w:rsidR="007B5C5C" w:rsidRPr="00DE0686">
        <w:rPr>
          <w:vertAlign w:val="superscript"/>
        </w:rPr>
        <w:t>1</w:t>
      </w:r>
    </w:p>
    <w:p w14:paraId="018C038C" w14:textId="42D2957F" w:rsidR="007B5C5C" w:rsidRDefault="007B5C5C" w:rsidP="007B5C5C">
      <w:pPr>
        <w:pStyle w:val="BodyText"/>
      </w:pPr>
      <w:r w:rsidRPr="007B5C5C">
        <w:t>Crysvita is indicated for the treatment of:</w:t>
      </w:r>
    </w:p>
    <w:p w14:paraId="721BC01A" w14:textId="77777777" w:rsidR="007B5C5C" w:rsidRPr="00714C27" w:rsidRDefault="007B5C5C" w:rsidP="00714C27">
      <w:pPr>
        <w:pStyle w:val="ListParagraph"/>
        <w:numPr>
          <w:ilvl w:val="0"/>
          <w:numId w:val="37"/>
        </w:numPr>
        <w:contextualSpacing w:val="0"/>
      </w:pPr>
      <w:r w:rsidRPr="00714C27">
        <w:t>X-linked hypophosphatemia (XLH) in adult and pediatric patients 6 months of age and older.</w:t>
      </w:r>
    </w:p>
    <w:p w14:paraId="5BFD8924" w14:textId="48BA2043" w:rsidR="007B5C5C" w:rsidRPr="00714C27" w:rsidRDefault="0088629C" w:rsidP="00714C27">
      <w:pPr>
        <w:pStyle w:val="ListParagraph"/>
        <w:numPr>
          <w:ilvl w:val="0"/>
          <w:numId w:val="37"/>
        </w:numPr>
        <w:contextualSpacing w:val="0"/>
      </w:pPr>
      <w:r>
        <w:t>Fibroblast growth factor 23 (</w:t>
      </w:r>
      <w:r w:rsidR="007B5C5C" w:rsidRPr="00714C27">
        <w:t>FGF23</w:t>
      </w:r>
      <w:r>
        <w:t>)</w:t>
      </w:r>
      <w:r w:rsidR="007B5C5C" w:rsidRPr="00714C27">
        <w:t xml:space="preserve">-related hypophosphatemia in tumor-induced </w:t>
      </w:r>
      <w:proofErr w:type="spellStart"/>
      <w:r w:rsidR="007B5C5C" w:rsidRPr="00714C27">
        <w:t>osteomalacia</w:t>
      </w:r>
      <w:proofErr w:type="spellEnd"/>
      <w:r w:rsidR="007B5C5C" w:rsidRPr="00714C27">
        <w:t xml:space="preserve"> (TIO) associated with </w:t>
      </w:r>
      <w:proofErr w:type="spellStart"/>
      <w:r w:rsidR="007B5C5C" w:rsidRPr="00714C27">
        <w:t>phosphaturic</w:t>
      </w:r>
      <w:proofErr w:type="spellEnd"/>
      <w:r w:rsidR="007B5C5C" w:rsidRPr="00714C27">
        <w:t xml:space="preserve"> mesenchymal tumors that cannot be curatively resected or localized in adult and pediatric patients 2 years of age and older.</w:t>
      </w:r>
    </w:p>
    <w:p w14:paraId="2FEEE4F8" w14:textId="77777777" w:rsidR="000F6FD4" w:rsidRDefault="007B5C5C" w:rsidP="007B5C5C">
      <w:pPr>
        <w:spacing w:after="120"/>
      </w:pPr>
      <w:r w:rsidRPr="007B5C5C">
        <w:t>All other indications are considered experimental/investigational and not medically necessary.</w:t>
      </w:r>
    </w:p>
    <w:p w14:paraId="36381B6D" w14:textId="5B8DECCC" w:rsidR="000D2496" w:rsidRDefault="000D2496" w:rsidP="009B4438">
      <w:pPr>
        <w:pStyle w:val="Heading2"/>
        <w:widowControl w:val="0"/>
      </w:pPr>
      <w:r w:rsidRPr="00BD1CC1">
        <w:t>Documentation</w:t>
      </w:r>
    </w:p>
    <w:p w14:paraId="096B2189" w14:textId="30635165" w:rsidR="0088629C" w:rsidRPr="0088629C" w:rsidRDefault="0088629C" w:rsidP="000D2C43">
      <w:pPr>
        <w:pStyle w:val="BodyText"/>
      </w:pPr>
      <w:r>
        <w:t>Submission of the following information is necessary to initiate the prior authorization review:</w:t>
      </w:r>
    </w:p>
    <w:p w14:paraId="4A1AF6F6" w14:textId="77DC2EB3" w:rsidR="007B5C5C" w:rsidRDefault="007B5C5C" w:rsidP="000D2C43">
      <w:pPr>
        <w:pStyle w:val="Heading3"/>
        <w:keepLines w:val="0"/>
        <w:widowControl w:val="0"/>
      </w:pPr>
      <w:r>
        <w:lastRenderedPageBreak/>
        <w:t>X-linked hypophosphatemia</w:t>
      </w:r>
      <w:r w:rsidR="0088629C">
        <w:t xml:space="preserve"> (XLH)</w:t>
      </w:r>
    </w:p>
    <w:p w14:paraId="7C503709" w14:textId="2D6065F2" w:rsidR="007B5C5C" w:rsidRDefault="007B5C5C" w:rsidP="007B5C5C">
      <w:pPr>
        <w:pStyle w:val="Heading4"/>
      </w:pPr>
      <w:r w:rsidRPr="007B5C5C">
        <w:t>Initial requests:</w:t>
      </w:r>
    </w:p>
    <w:p w14:paraId="14360F9C" w14:textId="77777777" w:rsidR="007B5C5C" w:rsidRDefault="007B5C5C" w:rsidP="00DE0686">
      <w:pPr>
        <w:pStyle w:val="ListParagraph"/>
        <w:numPr>
          <w:ilvl w:val="0"/>
          <w:numId w:val="45"/>
        </w:numPr>
        <w:spacing w:after="120"/>
        <w:contextualSpacing w:val="0"/>
      </w:pPr>
      <w:r>
        <w:t>Radiographic evidence of rickets or other bone disease attributed to XLH</w:t>
      </w:r>
    </w:p>
    <w:p w14:paraId="3BF4DD94" w14:textId="790182A6" w:rsidR="007B5C5C" w:rsidRDefault="007B5C5C" w:rsidP="00DE0686">
      <w:pPr>
        <w:pStyle w:val="ListParagraph"/>
        <w:numPr>
          <w:ilvl w:val="0"/>
          <w:numId w:val="45"/>
        </w:numPr>
        <w:spacing w:after="120"/>
        <w:contextualSpacing w:val="0"/>
      </w:pPr>
      <w:r>
        <w:t>At least one of the following:</w:t>
      </w:r>
    </w:p>
    <w:p w14:paraId="60A39219" w14:textId="54F8906C" w:rsidR="007B5C5C" w:rsidRPr="00633366" w:rsidRDefault="007B5C5C" w:rsidP="00DE0686">
      <w:pPr>
        <w:pStyle w:val="ListParagraph"/>
        <w:numPr>
          <w:ilvl w:val="1"/>
          <w:numId w:val="46"/>
        </w:numPr>
        <w:contextualSpacing w:val="0"/>
      </w:pPr>
      <w:r w:rsidRPr="00633366">
        <w:t>Genetic testing results confirming the member has a PHEX (phosphate regulating gene with homology to endopeptidases located on the X chromosome) mutation</w:t>
      </w:r>
    </w:p>
    <w:p w14:paraId="7E28B367" w14:textId="77777777" w:rsidR="007B5C5C" w:rsidRPr="00633366" w:rsidRDefault="007B5C5C" w:rsidP="00DE0686">
      <w:pPr>
        <w:pStyle w:val="ListParagraph"/>
        <w:numPr>
          <w:ilvl w:val="1"/>
          <w:numId w:val="46"/>
        </w:numPr>
        <w:contextualSpacing w:val="0"/>
      </w:pPr>
      <w:r w:rsidRPr="00633366">
        <w:t>Genetic testing results confirming a PHEX mutation in a directly related family member with appropriate X-linked inheritance</w:t>
      </w:r>
    </w:p>
    <w:p w14:paraId="62B37333" w14:textId="5EC961C3" w:rsidR="007B5C5C" w:rsidRPr="00633366" w:rsidRDefault="007B5C5C" w:rsidP="00DE0686">
      <w:pPr>
        <w:pStyle w:val="ListParagraph"/>
        <w:numPr>
          <w:ilvl w:val="1"/>
          <w:numId w:val="46"/>
        </w:numPr>
        <w:contextualSpacing w:val="0"/>
      </w:pPr>
      <w:r w:rsidRPr="00633366">
        <w:t>Lab test results confirming the member’s serum fibroblast growth factor 23 (FGF23) level is above the upper limit of normal or abnormal for the assay</w:t>
      </w:r>
    </w:p>
    <w:p w14:paraId="1D446081" w14:textId="6EB87092" w:rsidR="007B5C5C" w:rsidRDefault="007B5C5C" w:rsidP="007B5C5C">
      <w:pPr>
        <w:pStyle w:val="Heading4"/>
      </w:pPr>
      <w:r w:rsidRPr="007B5C5C">
        <w:t>Continuation requests:</w:t>
      </w:r>
    </w:p>
    <w:p w14:paraId="12724389" w14:textId="396E8D4C" w:rsidR="007B5C5C" w:rsidRDefault="0088629C" w:rsidP="00633366">
      <w:pPr>
        <w:pStyle w:val="ListParagraph"/>
        <w:numPr>
          <w:ilvl w:val="0"/>
          <w:numId w:val="39"/>
        </w:numPr>
        <w:contextualSpacing w:val="0"/>
      </w:pPr>
      <w:r>
        <w:t>Chart notes or medical record d</w:t>
      </w:r>
      <w:r w:rsidR="007B5C5C" w:rsidRPr="007B5C5C">
        <w:t xml:space="preserve">ocumentation </w:t>
      </w:r>
      <w:r>
        <w:t xml:space="preserve">showing beneficial </w:t>
      </w:r>
      <w:r w:rsidR="007B5C5C" w:rsidRPr="007B5C5C">
        <w:t>response to therapy</w:t>
      </w:r>
    </w:p>
    <w:p w14:paraId="5EEC293F" w14:textId="1E5CD276" w:rsidR="007B5C5C" w:rsidRDefault="007B5C5C" w:rsidP="000D2C43">
      <w:pPr>
        <w:pStyle w:val="Heading3"/>
      </w:pPr>
      <w:r>
        <w:t xml:space="preserve">Tumor induced </w:t>
      </w:r>
      <w:proofErr w:type="spellStart"/>
      <w:r>
        <w:t>osteomalacia</w:t>
      </w:r>
      <w:proofErr w:type="spellEnd"/>
      <w:r w:rsidR="0035714E">
        <w:t xml:space="preserve"> (TIO)</w:t>
      </w:r>
    </w:p>
    <w:p w14:paraId="1AF00A6F" w14:textId="7C3D2C2E" w:rsidR="007B5C5C" w:rsidRDefault="007B5C5C" w:rsidP="007B5C5C">
      <w:pPr>
        <w:pStyle w:val="Heading4"/>
      </w:pPr>
      <w:r>
        <w:t>Initial requests:</w:t>
      </w:r>
    </w:p>
    <w:p w14:paraId="2717FD51" w14:textId="6A02B5A2" w:rsidR="00300B5C" w:rsidRPr="00633366" w:rsidRDefault="00300B5C" w:rsidP="00633366">
      <w:pPr>
        <w:pStyle w:val="ListParagraph"/>
        <w:numPr>
          <w:ilvl w:val="0"/>
          <w:numId w:val="41"/>
        </w:numPr>
        <w:contextualSpacing w:val="0"/>
      </w:pPr>
      <w:r w:rsidRPr="00633366">
        <w:t>Lab test results confirming the member’s serum fibroblast growth factor 23 (FGF23) level is above the upper limit of normal or abnormal for the assay</w:t>
      </w:r>
    </w:p>
    <w:p w14:paraId="5E5DDC73" w14:textId="04FEED9C" w:rsidR="00300B5C" w:rsidRPr="00633366" w:rsidRDefault="00300B5C" w:rsidP="00633366">
      <w:pPr>
        <w:pStyle w:val="ListParagraph"/>
        <w:numPr>
          <w:ilvl w:val="0"/>
          <w:numId w:val="41"/>
        </w:numPr>
        <w:contextualSpacing w:val="0"/>
      </w:pPr>
      <w:r w:rsidRPr="00633366">
        <w:t>Fasting serum phosphorus level</w:t>
      </w:r>
    </w:p>
    <w:p w14:paraId="48CA37D0" w14:textId="42EE2069" w:rsidR="007B5C5C" w:rsidRPr="00633366" w:rsidRDefault="00300B5C" w:rsidP="00633366">
      <w:pPr>
        <w:pStyle w:val="ListParagraph"/>
        <w:numPr>
          <w:ilvl w:val="0"/>
          <w:numId w:val="41"/>
        </w:numPr>
        <w:contextualSpacing w:val="0"/>
      </w:pPr>
      <w:r w:rsidRPr="00633366">
        <w:t>Ratio of renal tubular maximum reabsorption rate of phosphate to glomerular filtration rate (</w:t>
      </w:r>
      <w:proofErr w:type="spellStart"/>
      <w:r w:rsidRPr="00633366">
        <w:t>TmP</w:t>
      </w:r>
      <w:proofErr w:type="spellEnd"/>
      <w:r w:rsidRPr="00633366">
        <w:t>/GFR)</w:t>
      </w:r>
    </w:p>
    <w:p w14:paraId="1E6A11FF" w14:textId="445E3276" w:rsidR="00300B5C" w:rsidRDefault="00300B5C" w:rsidP="00300B5C">
      <w:pPr>
        <w:pStyle w:val="Heading4"/>
      </w:pPr>
      <w:r w:rsidRPr="00300B5C">
        <w:t>Continuation</w:t>
      </w:r>
      <w:r w:rsidR="0088629C">
        <w:t xml:space="preserve"> </w:t>
      </w:r>
      <w:r w:rsidRPr="00300B5C">
        <w:t>requests:</w:t>
      </w:r>
    </w:p>
    <w:p w14:paraId="77859F0D" w14:textId="7EF4FAD4" w:rsidR="00300B5C" w:rsidRPr="00300B5C" w:rsidRDefault="0088629C" w:rsidP="00633366">
      <w:pPr>
        <w:pStyle w:val="ListParagraph"/>
        <w:numPr>
          <w:ilvl w:val="0"/>
          <w:numId w:val="42"/>
        </w:numPr>
        <w:contextualSpacing w:val="0"/>
      </w:pPr>
      <w:r>
        <w:t>Chart notes or medical record d</w:t>
      </w:r>
      <w:r w:rsidR="00300B5C" w:rsidRPr="00300B5C">
        <w:t xml:space="preserve">ocumentation </w:t>
      </w:r>
      <w:r>
        <w:t xml:space="preserve">showing beneficial </w:t>
      </w:r>
      <w:r w:rsidR="00300B5C" w:rsidRPr="00300B5C">
        <w:t>response to therapy</w:t>
      </w:r>
    </w:p>
    <w:p w14:paraId="50A38FBA" w14:textId="4DCF5178" w:rsidR="00FE0C63" w:rsidRDefault="00685107" w:rsidP="00633366">
      <w:pPr>
        <w:pStyle w:val="Heading2"/>
        <w:keepNext w:val="0"/>
        <w:widowControl w:val="0"/>
      </w:pPr>
      <w:r>
        <w:t>Coverage Criteria</w:t>
      </w:r>
    </w:p>
    <w:p w14:paraId="45C2B020" w14:textId="28B173FD" w:rsidR="00300B5C" w:rsidRDefault="00300B5C" w:rsidP="00633366">
      <w:pPr>
        <w:pStyle w:val="Heading3"/>
        <w:keepNext w:val="0"/>
        <w:keepLines w:val="0"/>
        <w:widowControl w:val="0"/>
      </w:pPr>
      <w:r>
        <w:t>X-linked hypophosphatemia (XLH)</w:t>
      </w:r>
      <w:r w:rsidRPr="00633366">
        <w:rPr>
          <w:vertAlign w:val="superscript"/>
        </w:rPr>
        <w:t>1-4,7</w:t>
      </w:r>
    </w:p>
    <w:p w14:paraId="221A449D" w14:textId="04440216" w:rsidR="00300B5C" w:rsidRDefault="00300B5C" w:rsidP="00633366">
      <w:pPr>
        <w:pStyle w:val="BodyText"/>
        <w:widowControl w:val="0"/>
      </w:pPr>
      <w:r>
        <w:t xml:space="preserve">Authorization of 12 months may be granted for treatment of X-linked hypophosphatemia (XLH) when both of the following criteria </w:t>
      </w:r>
      <w:r w:rsidR="0041204D">
        <w:t>are</w:t>
      </w:r>
      <w:r>
        <w:t xml:space="preserve"> met:</w:t>
      </w:r>
    </w:p>
    <w:p w14:paraId="49AA4B70" w14:textId="5C5D45A0" w:rsidR="00300B5C" w:rsidRDefault="0041204D" w:rsidP="00633366">
      <w:pPr>
        <w:pStyle w:val="ListParagraph"/>
        <w:numPr>
          <w:ilvl w:val="0"/>
          <w:numId w:val="42"/>
        </w:numPr>
        <w:contextualSpacing w:val="0"/>
      </w:pPr>
      <w:r>
        <w:t>M</w:t>
      </w:r>
      <w:r w:rsidR="00300B5C" w:rsidRPr="00633366">
        <w:t>ember</w:t>
      </w:r>
      <w:r w:rsidR="00300B5C" w:rsidRPr="00300B5C">
        <w:t xml:space="preserve"> meets one of the following</w:t>
      </w:r>
      <w:r w:rsidR="0035714E">
        <w:t xml:space="preserve"> criteria</w:t>
      </w:r>
      <w:r w:rsidR="00300B5C" w:rsidRPr="00300B5C">
        <w:t>:</w:t>
      </w:r>
    </w:p>
    <w:p w14:paraId="14A52BBF" w14:textId="014502F1" w:rsidR="00300B5C" w:rsidRDefault="00300B5C" w:rsidP="00633366">
      <w:pPr>
        <w:pStyle w:val="ListParagraph"/>
        <w:numPr>
          <w:ilvl w:val="1"/>
          <w:numId w:val="21"/>
        </w:numPr>
        <w:contextualSpacing w:val="0"/>
      </w:pPr>
      <w:r>
        <w:t>Genetic testing was conducted to confirm a PHEX mutation in the member.</w:t>
      </w:r>
    </w:p>
    <w:p w14:paraId="1F8C00ED" w14:textId="27452213" w:rsidR="00300B5C" w:rsidRDefault="00300B5C" w:rsidP="00633366">
      <w:pPr>
        <w:pStyle w:val="ListParagraph"/>
        <w:numPr>
          <w:ilvl w:val="1"/>
          <w:numId w:val="21"/>
        </w:numPr>
        <w:contextualSpacing w:val="0"/>
      </w:pPr>
      <w:r>
        <w:t>Genetic testing was conducted to confirm a PHEX mutation in a directly related family member with appropriate X-linked inheritance.</w:t>
      </w:r>
    </w:p>
    <w:p w14:paraId="762AABC4" w14:textId="223908FF" w:rsidR="00300B5C" w:rsidRDefault="00300B5C" w:rsidP="00633366">
      <w:pPr>
        <w:pStyle w:val="ListParagraph"/>
        <w:numPr>
          <w:ilvl w:val="1"/>
          <w:numId w:val="21"/>
        </w:numPr>
        <w:contextualSpacing w:val="0"/>
      </w:pPr>
      <w:r>
        <w:t>Member’s FGF23 level is above the upper limit of normal or abnormal for the as</w:t>
      </w:r>
      <w:r w:rsidR="0041204D">
        <w:t>say</w:t>
      </w:r>
      <w:r>
        <w:t>.</w:t>
      </w:r>
    </w:p>
    <w:p w14:paraId="5D873D71" w14:textId="7BA54259" w:rsidR="00300B5C" w:rsidRDefault="00300B5C" w:rsidP="00633366">
      <w:pPr>
        <w:pStyle w:val="ListParagraph"/>
        <w:numPr>
          <w:ilvl w:val="0"/>
          <w:numId w:val="42"/>
        </w:numPr>
        <w:contextualSpacing w:val="0"/>
      </w:pPr>
      <w:r w:rsidRPr="00300B5C">
        <w:t>Member has radiographic evidence of rickets or other bone disease attributed to XLH.</w:t>
      </w:r>
    </w:p>
    <w:p w14:paraId="34B3C50E" w14:textId="11229283" w:rsidR="00F37601" w:rsidRDefault="00F37601" w:rsidP="00F37601">
      <w:pPr>
        <w:pStyle w:val="Heading3"/>
      </w:pPr>
      <w:r>
        <w:t xml:space="preserve">Tumor-induced </w:t>
      </w:r>
      <w:proofErr w:type="spellStart"/>
      <w:r>
        <w:t>osteomalacia</w:t>
      </w:r>
      <w:proofErr w:type="spellEnd"/>
      <w:r>
        <w:t xml:space="preserve"> (TIO)</w:t>
      </w:r>
      <w:r w:rsidRPr="00633366">
        <w:rPr>
          <w:vertAlign w:val="superscript"/>
        </w:rPr>
        <w:t>1,5-</w:t>
      </w:r>
      <w:r w:rsidR="0041204D">
        <w:rPr>
          <w:vertAlign w:val="superscript"/>
        </w:rPr>
        <w:t>7</w:t>
      </w:r>
    </w:p>
    <w:p w14:paraId="5DC7A3FD" w14:textId="01092586" w:rsidR="00F37601" w:rsidRDefault="00F37601" w:rsidP="00F37601">
      <w:pPr>
        <w:spacing w:after="120"/>
      </w:pPr>
      <w:r>
        <w:t xml:space="preserve">Authorization of 12 months may be granted for treatment of tumor-induced </w:t>
      </w:r>
      <w:proofErr w:type="spellStart"/>
      <w:r>
        <w:t>osteomalacia</w:t>
      </w:r>
      <w:proofErr w:type="spellEnd"/>
      <w:r>
        <w:t xml:space="preserve"> (TIO) when </w:t>
      </w:r>
      <w:r w:rsidR="0041204D">
        <w:t xml:space="preserve">both of </w:t>
      </w:r>
      <w:r>
        <w:t xml:space="preserve">the following criteria </w:t>
      </w:r>
      <w:r w:rsidR="0041204D">
        <w:t>are</w:t>
      </w:r>
      <w:r>
        <w:t xml:space="preserve"> met:</w:t>
      </w:r>
    </w:p>
    <w:p w14:paraId="5A553089" w14:textId="56F1412C" w:rsidR="00F37601" w:rsidRDefault="00F37601" w:rsidP="00633366">
      <w:pPr>
        <w:pStyle w:val="ListParagraph"/>
        <w:numPr>
          <w:ilvl w:val="0"/>
          <w:numId w:val="34"/>
        </w:numPr>
        <w:contextualSpacing w:val="0"/>
      </w:pPr>
      <w:r w:rsidRPr="00F37601">
        <w:t>Member’s diagnosis is confirmed by ALL of the following:</w:t>
      </w:r>
    </w:p>
    <w:p w14:paraId="1C5A8508" w14:textId="070806E4" w:rsidR="00F37601" w:rsidRDefault="0041204D" w:rsidP="00633366">
      <w:pPr>
        <w:pStyle w:val="ListParagraph"/>
        <w:numPr>
          <w:ilvl w:val="1"/>
          <w:numId w:val="21"/>
        </w:numPr>
        <w:contextualSpacing w:val="0"/>
      </w:pPr>
      <w:r>
        <w:t xml:space="preserve">Member’s </w:t>
      </w:r>
      <w:r w:rsidR="00F37601">
        <w:t>FGF23 level is above the upper limit of normal or abnormal for the assay.</w:t>
      </w:r>
    </w:p>
    <w:p w14:paraId="57AE4A56" w14:textId="005E22DE" w:rsidR="00F37601" w:rsidRDefault="0041204D" w:rsidP="00633366">
      <w:pPr>
        <w:pStyle w:val="ListParagraph"/>
        <w:numPr>
          <w:ilvl w:val="1"/>
          <w:numId w:val="21"/>
        </w:numPr>
        <w:contextualSpacing w:val="0"/>
      </w:pPr>
      <w:r>
        <w:t>Member’s f</w:t>
      </w:r>
      <w:r w:rsidR="00F37601">
        <w:t>asting serum phosphorus levels are less than 2.5 mg/dL</w:t>
      </w:r>
      <w:r>
        <w:t>.</w:t>
      </w:r>
    </w:p>
    <w:p w14:paraId="453BACB2" w14:textId="366C5CC4" w:rsidR="00F37601" w:rsidRPr="00F37601" w:rsidRDefault="0041204D" w:rsidP="00633366">
      <w:pPr>
        <w:pStyle w:val="ListParagraph"/>
        <w:numPr>
          <w:ilvl w:val="1"/>
          <w:numId w:val="21"/>
        </w:numPr>
        <w:contextualSpacing w:val="0"/>
      </w:pPr>
      <w:r>
        <w:t>Member’s r</w:t>
      </w:r>
      <w:r w:rsidR="00F37601">
        <w:t>atio of renal tubular maximum reabsorption rate of phosphate to glomerular filtration rate (</w:t>
      </w:r>
      <w:proofErr w:type="spellStart"/>
      <w:r w:rsidR="00F37601">
        <w:t>TmP</w:t>
      </w:r>
      <w:proofErr w:type="spellEnd"/>
      <w:r w:rsidR="00F37601">
        <w:t>/GFR) is less than 2.5 mg/dL</w:t>
      </w:r>
      <w:r>
        <w:t>.</w:t>
      </w:r>
    </w:p>
    <w:p w14:paraId="193827B0" w14:textId="32AA018A" w:rsidR="00F37601" w:rsidRPr="00300B5C" w:rsidRDefault="00F37601" w:rsidP="00633366">
      <w:pPr>
        <w:pStyle w:val="ListParagraph"/>
        <w:numPr>
          <w:ilvl w:val="0"/>
          <w:numId w:val="34"/>
        </w:numPr>
        <w:contextualSpacing w:val="0"/>
      </w:pPr>
      <w:r w:rsidRPr="00F37601">
        <w:t xml:space="preserve">Member’s disease is associated with </w:t>
      </w:r>
      <w:proofErr w:type="spellStart"/>
      <w:r w:rsidRPr="00F37601">
        <w:t>phosphaturic</w:t>
      </w:r>
      <w:proofErr w:type="spellEnd"/>
      <w:r w:rsidRPr="00F37601">
        <w:t xml:space="preserve"> mesenchymal tumors that cannot be curatively resected or localized.</w:t>
      </w:r>
    </w:p>
    <w:p w14:paraId="3A643EC3" w14:textId="5135B396" w:rsidR="00A501AC" w:rsidRPr="00F37601" w:rsidRDefault="00A501AC" w:rsidP="00A501AC">
      <w:pPr>
        <w:pStyle w:val="Heading2"/>
      </w:pPr>
      <w:r w:rsidRPr="00BD1CC1">
        <w:t>Continuation of Therapy</w:t>
      </w:r>
    </w:p>
    <w:p w14:paraId="7BD2721A" w14:textId="1431C35E" w:rsidR="000F6FD4" w:rsidRDefault="00F37601" w:rsidP="00F37601">
      <w:pPr>
        <w:pStyle w:val="BodyText"/>
      </w:pPr>
      <w:r w:rsidRPr="00F37601">
        <w:t>Authorization of 12 months may be granted for continued treatment in members requesting reauthorization for an indication listed in the coverage criteria section who are currently receiving the requested medication through a paid pharmacy or medical benefit and who are experiencing benefit from therapy as evidenced by disease improvement or disease stability (e.g., increase or normalization in serum phosphate, improvement in bone and joint pain, reduction in fractures, improvement in skeletal deformities).</w:t>
      </w:r>
      <w:bookmarkStart w:id="0" w:name="S2.2"/>
      <w:bookmarkStart w:id="1" w:name="section-2.2"/>
      <w:bookmarkStart w:id="2" w:name="section-2.2.1"/>
      <w:bookmarkStart w:id="3" w:name="section-2.2.2"/>
      <w:bookmarkEnd w:id="0"/>
      <w:bookmarkEnd w:id="1"/>
      <w:bookmarkEnd w:id="2"/>
      <w:bookmarkEnd w:id="3"/>
    </w:p>
    <w:p w14:paraId="10DA4309" w14:textId="0A0DA1D0" w:rsidR="00FF66BF" w:rsidRPr="008D1B34" w:rsidRDefault="00FF66BF" w:rsidP="00633366">
      <w:pPr>
        <w:pStyle w:val="Heading2"/>
        <w:keepNext w:val="0"/>
        <w:widowControl w:val="0"/>
      </w:pPr>
      <w:r w:rsidRPr="008D1B34">
        <w:t>References</w:t>
      </w:r>
    </w:p>
    <w:p w14:paraId="700918A0" w14:textId="77777777" w:rsidR="00633366" w:rsidRDefault="00F37601" w:rsidP="00633366">
      <w:pPr>
        <w:pStyle w:val="ReferenceOrdered"/>
        <w:widowControl w:val="0"/>
      </w:pPr>
      <w:r>
        <w:t>Crysvita [package insert]. Princeton, NJ: Kyowa Kirin, Inc.; March 2023.</w:t>
      </w:r>
    </w:p>
    <w:p w14:paraId="6610E9A1" w14:textId="34CED97B" w:rsidR="0041204D" w:rsidRDefault="0041204D" w:rsidP="0041204D">
      <w:pPr>
        <w:pStyle w:val="ReferenceOrdered"/>
      </w:pPr>
      <w:proofErr w:type="spellStart"/>
      <w:r w:rsidRPr="00B14F61">
        <w:t>Linglart</w:t>
      </w:r>
      <w:proofErr w:type="spellEnd"/>
      <w:r w:rsidRPr="00B14F61">
        <w:t xml:space="preserve"> A, </w:t>
      </w:r>
      <w:proofErr w:type="spellStart"/>
      <w:r w:rsidRPr="00B14F61">
        <w:t>Imel</w:t>
      </w:r>
      <w:proofErr w:type="spellEnd"/>
      <w:r w:rsidRPr="00B14F61">
        <w:t xml:space="preserve"> EA, Whyte MP,</w:t>
      </w:r>
      <w:r>
        <w:t xml:space="preserve"> et al</w:t>
      </w:r>
      <w:r w:rsidRPr="00B14F61">
        <w:t xml:space="preserve">. Sustained Efficacy and Safety of </w:t>
      </w:r>
      <w:proofErr w:type="spellStart"/>
      <w:r w:rsidRPr="00B14F61">
        <w:t>Burosumab</w:t>
      </w:r>
      <w:proofErr w:type="spellEnd"/>
      <w:r w:rsidRPr="00B14F61">
        <w:t xml:space="preserve">, a Monoclonal Antibody to FGF23, in Children With X-Linked Hypophosphatemia. </w:t>
      </w:r>
      <w:r w:rsidRPr="000D2C43">
        <w:t>J Clin Endocrinol Metab</w:t>
      </w:r>
      <w:r w:rsidRPr="00B14F61">
        <w:t>. 2022;107(3):813-824.</w:t>
      </w:r>
    </w:p>
    <w:p w14:paraId="25CEC7CE" w14:textId="31FEAFC8" w:rsidR="0041204D" w:rsidRPr="00CC1BA0" w:rsidRDefault="0041204D" w:rsidP="0041204D">
      <w:pPr>
        <w:pStyle w:val="ReferenceOrdered"/>
      </w:pPr>
      <w:proofErr w:type="spellStart"/>
      <w:r w:rsidRPr="00FB3299">
        <w:t>Insogna</w:t>
      </w:r>
      <w:proofErr w:type="spellEnd"/>
      <w:r w:rsidRPr="00FB3299">
        <w:t xml:space="preserve"> KL, </w:t>
      </w:r>
      <w:proofErr w:type="spellStart"/>
      <w:r w:rsidRPr="00FB3299">
        <w:t>Briot</w:t>
      </w:r>
      <w:proofErr w:type="spellEnd"/>
      <w:r w:rsidRPr="00FB3299">
        <w:t xml:space="preserve"> K, </w:t>
      </w:r>
      <w:proofErr w:type="spellStart"/>
      <w:r w:rsidRPr="00FB3299">
        <w:t>Imel</w:t>
      </w:r>
      <w:proofErr w:type="spellEnd"/>
      <w:r w:rsidRPr="00FB3299">
        <w:t xml:space="preserve"> EA, </w:t>
      </w:r>
      <w:r>
        <w:t>et al</w:t>
      </w:r>
      <w:r w:rsidRPr="00FB3299">
        <w:t xml:space="preserve">. A Randomized, Double-Blind, Placebo-Controlled, Phase 3 Trial Evaluating the Efficacy of </w:t>
      </w:r>
      <w:proofErr w:type="spellStart"/>
      <w:r w:rsidRPr="00FB3299">
        <w:t>Burosumab</w:t>
      </w:r>
      <w:proofErr w:type="spellEnd"/>
      <w:r w:rsidRPr="00FB3299">
        <w:t xml:space="preserve">, an Anti-FGF23 Antibody, in Adults With X-Linked Hypophosphatemia: Week 24 Primary Analysis. </w:t>
      </w:r>
      <w:r w:rsidRPr="000D2C43">
        <w:t>J Bone Miner Res</w:t>
      </w:r>
      <w:r w:rsidRPr="00FB3299">
        <w:t>. 2018;33(8):1383-1393</w:t>
      </w:r>
      <w:r>
        <w:t>.</w:t>
      </w:r>
    </w:p>
    <w:p w14:paraId="1D602B1D" w14:textId="72DCAB0C" w:rsidR="0041204D" w:rsidRPr="0041204D" w:rsidRDefault="0041204D" w:rsidP="0041204D">
      <w:pPr>
        <w:pStyle w:val="ReferenceOrdered"/>
      </w:pPr>
      <w:r w:rsidRPr="0041204D">
        <w:t xml:space="preserve">Dieter H, Emma F, Eastwood DM, et al. Clinical Practice Recommendations for the Diagnosis and Management of X-linked </w:t>
      </w:r>
      <w:proofErr w:type="spellStart"/>
      <w:r w:rsidRPr="0041204D">
        <w:t>Hypophosphataemia</w:t>
      </w:r>
      <w:proofErr w:type="spellEnd"/>
      <w:r w:rsidRPr="0041204D">
        <w:t>. Nat Rev Nephrol. 2019;15(7):435-455.</w:t>
      </w:r>
    </w:p>
    <w:p w14:paraId="2F685A92" w14:textId="77777777" w:rsidR="0041204D" w:rsidRPr="0041204D" w:rsidRDefault="0041204D" w:rsidP="0041204D">
      <w:pPr>
        <w:pStyle w:val="ReferenceOrdered"/>
      </w:pPr>
      <w:r w:rsidRPr="0041204D">
        <w:t xml:space="preserve">ClinicalTrials.gov. National Library of Medicine (US). Identifier NCT02304367. Study of </w:t>
      </w:r>
      <w:proofErr w:type="spellStart"/>
      <w:r w:rsidRPr="0041204D">
        <w:t>Burosumab</w:t>
      </w:r>
      <w:proofErr w:type="spellEnd"/>
      <w:r w:rsidRPr="0041204D">
        <w:t xml:space="preserve"> (KRN23) in Adults with Tumor-Induced </w:t>
      </w:r>
      <w:proofErr w:type="spellStart"/>
      <w:r w:rsidRPr="0041204D">
        <w:t>Osteomalacia</w:t>
      </w:r>
      <w:proofErr w:type="spellEnd"/>
      <w:r w:rsidRPr="0041204D">
        <w:t xml:space="preserve"> (TIO) or Epidermal Nevus Syndrome (ENS). 2020 June 30. Available from: http://clinicaltrials.gov/ct2/show/NCT02304367.</w:t>
      </w:r>
    </w:p>
    <w:p w14:paraId="7CF25E26" w14:textId="7DA04E5B" w:rsidR="00F37601" w:rsidRDefault="00F37601" w:rsidP="00F37601">
      <w:pPr>
        <w:pStyle w:val="ReferenceOrdered"/>
      </w:pPr>
      <w:r>
        <w:t xml:space="preserve">Chong WH, </w:t>
      </w:r>
      <w:proofErr w:type="spellStart"/>
      <w:r>
        <w:t>Molinolo</w:t>
      </w:r>
      <w:proofErr w:type="spellEnd"/>
      <w:r>
        <w:t xml:space="preserve"> AA, Chen CC, et.al Tumor-induced </w:t>
      </w:r>
      <w:proofErr w:type="spellStart"/>
      <w:r>
        <w:t>Osteomalacia</w:t>
      </w:r>
      <w:proofErr w:type="spellEnd"/>
      <w:r>
        <w:t>. Endocrine Related Cancer</w:t>
      </w:r>
      <w:r w:rsidR="0041204D">
        <w:t xml:space="preserve"> 2011;</w:t>
      </w:r>
      <w:r>
        <w:t>18</w:t>
      </w:r>
      <w:r w:rsidR="0041204D">
        <w:t>(3)</w:t>
      </w:r>
      <w:r>
        <w:t>:R53-R77.</w:t>
      </w:r>
    </w:p>
    <w:p w14:paraId="47E1A10C" w14:textId="27A34498" w:rsidR="00C44990" w:rsidRPr="009B4438" w:rsidRDefault="00F37601" w:rsidP="00FE2118">
      <w:pPr>
        <w:pStyle w:val="ReferenceOrdered"/>
      </w:pPr>
      <w:r w:rsidRPr="00C96C81">
        <w:rPr>
          <w:lang w:val="fr-FR"/>
        </w:rPr>
        <w:t xml:space="preserve">Fauconnier C, Roy T, </w:t>
      </w:r>
      <w:proofErr w:type="spellStart"/>
      <w:r w:rsidRPr="00C96C81">
        <w:rPr>
          <w:lang w:val="fr-FR"/>
        </w:rPr>
        <w:t>Gillerot</w:t>
      </w:r>
      <w:proofErr w:type="spellEnd"/>
      <w:r w:rsidRPr="00C96C81">
        <w:rPr>
          <w:lang w:val="fr-FR"/>
        </w:rPr>
        <w:t xml:space="preserve"> G, et al. </w:t>
      </w:r>
      <w:r>
        <w:t xml:space="preserve">FGF23: Clinical usefulness and analytical evolution. Clin </w:t>
      </w:r>
      <w:proofErr w:type="spellStart"/>
      <w:r>
        <w:t>Biochem</w:t>
      </w:r>
      <w:proofErr w:type="spellEnd"/>
      <w:r>
        <w:t>. 2019</w:t>
      </w:r>
      <w:r w:rsidR="0041204D">
        <w:t>;66:1-12.</w:t>
      </w:r>
    </w:p>
    <w:sectPr w:rsidR="00C44990" w:rsidRPr="009B4438" w:rsidSect="009B4438">
      <w:headerReference w:type="first" r:id="rId15"/>
      <w:footerReference w:type="first" r:id="rId16"/>
      <w:type w:val="continuous"/>
      <w:pgSz w:w="12240" w:h="15840" w:code="1"/>
      <w:pgMar w:top="907" w:right="720" w:bottom="994" w:left="720" w:header="720" w:footer="80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75D60" w14:textId="77777777" w:rsidR="007240C0" w:rsidRDefault="007240C0">
      <w:r>
        <w:separator/>
      </w:r>
    </w:p>
  </w:endnote>
  <w:endnote w:type="continuationSeparator" w:id="0">
    <w:p w14:paraId="4089E388" w14:textId="77777777" w:rsidR="007240C0" w:rsidRDefault="007240C0">
      <w:r>
        <w:continuationSeparator/>
      </w:r>
    </w:p>
  </w:endnote>
  <w:endnote w:type="continuationNotice" w:id="1">
    <w:p w14:paraId="37DC6E0E" w14:textId="77777777" w:rsidR="007240C0" w:rsidRDefault="007240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D2D330C"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37601" w:rsidRPr="00F37601">
      <w:rPr>
        <w:rFonts w:cs="Arial"/>
        <w:noProof/>
        <w:sz w:val="16"/>
        <w:szCs w:val="16"/>
      </w:rPr>
      <w:t>Crysvita</w:t>
    </w:r>
    <w:r w:rsidR="00F37601">
      <w:rPr>
        <w:rFonts w:cs="Arial"/>
        <w:noProof/>
        <w:snapToGrid w:val="0"/>
        <w:color w:val="000000"/>
        <w:sz w:val="16"/>
        <w:szCs w:val="16"/>
      </w:rPr>
      <w:t xml:space="preserve"> </w:t>
    </w:r>
    <w:r w:rsidR="00BA432E">
      <w:rPr>
        <w:rFonts w:cs="Arial"/>
        <w:noProof/>
        <w:snapToGrid w:val="0"/>
        <w:color w:val="000000"/>
        <w:sz w:val="16"/>
        <w:szCs w:val="16"/>
      </w:rPr>
      <w:t xml:space="preserve">SGM </w:t>
    </w:r>
    <w:r w:rsidR="00F37601">
      <w:rPr>
        <w:rFonts w:cs="Arial"/>
        <w:noProof/>
        <w:snapToGrid w:val="0"/>
        <w:color w:val="000000"/>
        <w:sz w:val="16"/>
        <w:szCs w:val="16"/>
      </w:rPr>
      <w:t xml:space="preserve">2562-A </w:t>
    </w:r>
    <w:r w:rsidR="00FE2118">
      <w:rPr>
        <w:rFonts w:cs="Arial"/>
        <w:noProof/>
        <w:snapToGrid w:val="0"/>
        <w:color w:val="000000"/>
        <w:sz w:val="16"/>
        <w:szCs w:val="16"/>
      </w:rPr>
      <w:t>P</w:t>
    </w:r>
    <w:r w:rsidR="00F37601" w:rsidRPr="00F37601">
      <w:rPr>
        <w:rFonts w:cs="Arial"/>
        <w:noProof/>
        <w:sz w:val="16"/>
        <w:szCs w:val="16"/>
      </w:rPr>
      <w:t>202</w:t>
    </w:r>
    <w:r w:rsidRPr="00EC47B6">
      <w:rPr>
        <w:rFonts w:cs="Arial"/>
        <w:noProof/>
        <w:sz w:val="16"/>
        <w:szCs w:val="16"/>
      </w:rPr>
      <w:fldChar w:fldCharType="end"/>
    </w:r>
    <w:r w:rsidR="00BA432E">
      <w:rPr>
        <w:rFonts w:cs="Arial"/>
        <w:noProof/>
        <w:sz w:val="16"/>
        <w:szCs w:val="16"/>
      </w:rPr>
      <w:t>4_R.docx</w:t>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011CD1C5"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8683742" w:rsidR="00F75C81" w:rsidRPr="00B63574" w:rsidRDefault="00C36B72" w:rsidP="00B63574">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57ED6B7"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E0686" w:rsidRPr="00DE0686">
      <w:rPr>
        <w:rFonts w:cs="Arial"/>
        <w:noProof/>
        <w:sz w:val="16"/>
        <w:szCs w:val="16"/>
      </w:rPr>
      <w:t>Crysvita</w:t>
    </w:r>
    <w:r w:rsidR="00DE0686">
      <w:rPr>
        <w:rFonts w:cs="Arial"/>
        <w:noProof/>
        <w:snapToGrid w:val="0"/>
        <w:color w:val="000000"/>
        <w:sz w:val="16"/>
        <w:szCs w:val="16"/>
      </w:rPr>
      <w:t xml:space="preserve"> </w:t>
    </w:r>
    <w:r w:rsidR="00E63042">
      <w:rPr>
        <w:rFonts w:cs="Arial"/>
        <w:noProof/>
        <w:snapToGrid w:val="0"/>
        <w:color w:val="000000"/>
        <w:sz w:val="16"/>
        <w:szCs w:val="16"/>
      </w:rPr>
      <w:t>SGM</w:t>
    </w:r>
    <w:r w:rsidR="00E63042" w:rsidRPr="00DE0686">
      <w:rPr>
        <w:rFonts w:cs="Arial"/>
        <w:noProof/>
        <w:sz w:val="16"/>
        <w:szCs w:val="16"/>
      </w:rPr>
      <w:t xml:space="preserve"> </w:t>
    </w:r>
    <w:r w:rsidR="00DE0686">
      <w:rPr>
        <w:rFonts w:cs="Arial"/>
        <w:noProof/>
        <w:snapToGrid w:val="0"/>
        <w:color w:val="000000"/>
        <w:sz w:val="16"/>
        <w:szCs w:val="16"/>
      </w:rPr>
      <w:t xml:space="preserve">2562-A </w:t>
    </w:r>
    <w:r w:rsidR="00FE2118">
      <w:rPr>
        <w:rFonts w:cs="Arial"/>
        <w:noProof/>
        <w:snapToGrid w:val="0"/>
        <w:color w:val="000000"/>
        <w:sz w:val="16"/>
        <w:szCs w:val="16"/>
      </w:rPr>
      <w:t>P</w:t>
    </w:r>
    <w:r w:rsidR="00DE0686" w:rsidRPr="00DE0686">
      <w:rPr>
        <w:rFonts w:cs="Arial"/>
        <w:noProof/>
        <w:sz w:val="16"/>
        <w:szCs w:val="16"/>
      </w:rPr>
      <w:t>202</w:t>
    </w:r>
    <w:r w:rsidR="00BA432E">
      <w:rPr>
        <w:rFonts w:cs="Arial"/>
        <w:noProof/>
        <w:sz w:val="16"/>
        <w:szCs w:val="16"/>
      </w:rPr>
      <w:t>4</w:t>
    </w:r>
    <w:r w:rsidR="00E63042">
      <w:rPr>
        <w:rFonts w:cs="Arial"/>
        <w:noProof/>
        <w:sz w:val="16"/>
        <w:szCs w:val="16"/>
      </w:rPr>
      <w:t>_R</w:t>
    </w:r>
    <w:r w:rsidR="00DE0686" w:rsidRPr="00DE0686">
      <w:rPr>
        <w:rFonts w:cs="Arial"/>
        <w:noProof/>
        <w:sz w:val="16"/>
        <w:szCs w:val="16"/>
      </w:rPr>
      <w:t>.docx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4A429786"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129B4AA" w:rsidR="00ED04EC" w:rsidRPr="00F50D98" w:rsidRDefault="00F50D98" w:rsidP="009B443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04BA9" w14:textId="15DB7A7A" w:rsidR="00633366" w:rsidRPr="00633366" w:rsidRDefault="00633366" w:rsidP="006333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916DA" w14:textId="77777777" w:rsidR="007240C0" w:rsidRDefault="007240C0">
      <w:r>
        <w:separator/>
      </w:r>
    </w:p>
  </w:footnote>
  <w:footnote w:type="continuationSeparator" w:id="0">
    <w:p w14:paraId="64B21F39" w14:textId="77777777" w:rsidR="007240C0" w:rsidRDefault="007240C0">
      <w:r>
        <w:continuationSeparator/>
      </w:r>
    </w:p>
  </w:footnote>
  <w:footnote w:type="continuationNotice" w:id="1">
    <w:p w14:paraId="54B26708" w14:textId="77777777" w:rsidR="007240C0" w:rsidRDefault="007240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633366" w14:paraId="16262E63" w14:textId="77777777">
      <w:trPr>
        <w:trHeight w:val="144"/>
        <w:jc w:val="right"/>
      </w:trPr>
      <w:tc>
        <w:tcPr>
          <w:tcW w:w="1854" w:type="dxa"/>
          <w:hideMark/>
        </w:tcPr>
        <w:p w14:paraId="18F550B7" w14:textId="77777777" w:rsidR="00ED04EC" w:rsidRPr="00633366" w:rsidRDefault="00ED04EC" w:rsidP="00633366">
          <w:pPr>
            <w:pStyle w:val="RefTableData"/>
          </w:pPr>
          <w:r w:rsidRPr="00633366">
            <w:t>Reference number(s)</w:t>
          </w:r>
        </w:p>
      </w:tc>
    </w:tr>
    <w:tr w:rsidR="00ED04EC" w:rsidRPr="00633366" w14:paraId="703C6588" w14:textId="77777777">
      <w:trPr>
        <w:trHeight w:val="378"/>
        <w:jc w:val="right"/>
      </w:trPr>
      <w:tc>
        <w:tcPr>
          <w:tcW w:w="1854" w:type="dxa"/>
          <w:hideMark/>
        </w:tcPr>
        <w:p w14:paraId="51CE3E64" w14:textId="6560626F" w:rsidR="00ED04EC" w:rsidRPr="00633366" w:rsidRDefault="007B5C5C" w:rsidP="00633366">
          <w:pPr>
            <w:pStyle w:val="RefTableData"/>
          </w:pPr>
          <w:r w:rsidRPr="00633366">
            <w:t>2562-A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633366" w:rsidRPr="00ED04EC" w14:paraId="42398135" w14:textId="77777777" w:rsidTr="002F41DE">
      <w:trPr>
        <w:trHeight w:val="144"/>
        <w:jc w:val="right"/>
      </w:trPr>
      <w:tc>
        <w:tcPr>
          <w:tcW w:w="1854" w:type="dxa"/>
          <w:hideMark/>
        </w:tcPr>
        <w:p w14:paraId="6AF132DF" w14:textId="77777777" w:rsidR="00633366" w:rsidRPr="00AA1E6A" w:rsidRDefault="00633366" w:rsidP="00633366">
          <w:pPr>
            <w:pStyle w:val="RefTableData"/>
          </w:pPr>
          <w:r w:rsidRPr="00AA1E6A">
            <w:t>Reference number(s)</w:t>
          </w:r>
        </w:p>
      </w:tc>
    </w:tr>
    <w:tr w:rsidR="00633366" w:rsidRPr="00ED04EC" w14:paraId="3BCCDF40" w14:textId="77777777" w:rsidTr="002F41DE">
      <w:trPr>
        <w:trHeight w:val="378"/>
        <w:jc w:val="right"/>
      </w:trPr>
      <w:tc>
        <w:tcPr>
          <w:tcW w:w="1854" w:type="dxa"/>
          <w:hideMark/>
        </w:tcPr>
        <w:p w14:paraId="331EB32F" w14:textId="77777777" w:rsidR="00633366" w:rsidRPr="004C7F1D" w:rsidRDefault="00633366" w:rsidP="00633366">
          <w:pPr>
            <w:pStyle w:val="RefTableData"/>
          </w:pPr>
          <w:r>
            <w:t>2562-A</w:t>
          </w:r>
        </w:p>
      </w:tc>
    </w:tr>
  </w:tbl>
  <w:p w14:paraId="0E6C471F" w14:textId="77777777" w:rsidR="00633366" w:rsidRPr="00633366" w:rsidRDefault="00633366">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C4B9B"/>
    <w:multiLevelType w:val="hybridMultilevel"/>
    <w:tmpl w:val="65E6A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993582D"/>
    <w:multiLevelType w:val="hybridMultilevel"/>
    <w:tmpl w:val="525CE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D417A3"/>
    <w:multiLevelType w:val="hybridMultilevel"/>
    <w:tmpl w:val="DADCB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DFE4398"/>
    <w:multiLevelType w:val="hybridMultilevel"/>
    <w:tmpl w:val="D47075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07C5B4D"/>
    <w:multiLevelType w:val="hybridMultilevel"/>
    <w:tmpl w:val="DBD88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443D9B"/>
    <w:multiLevelType w:val="hybridMultilevel"/>
    <w:tmpl w:val="77D0F8E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C980288"/>
    <w:multiLevelType w:val="hybridMultilevel"/>
    <w:tmpl w:val="DECAA26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AE3A41"/>
    <w:multiLevelType w:val="hybridMultilevel"/>
    <w:tmpl w:val="4380D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E81D04"/>
    <w:multiLevelType w:val="hybridMultilevel"/>
    <w:tmpl w:val="943AE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2A6FB3"/>
    <w:multiLevelType w:val="hybridMultilevel"/>
    <w:tmpl w:val="B1F6D99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9395A49"/>
    <w:multiLevelType w:val="hybridMultilevel"/>
    <w:tmpl w:val="F5520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C323D9"/>
    <w:multiLevelType w:val="hybridMultilevel"/>
    <w:tmpl w:val="07F830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6150D3"/>
    <w:multiLevelType w:val="hybridMultilevel"/>
    <w:tmpl w:val="CE68EE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DF3231"/>
    <w:multiLevelType w:val="hybridMultilevel"/>
    <w:tmpl w:val="5B822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3B5FB3"/>
    <w:multiLevelType w:val="hybridMultilevel"/>
    <w:tmpl w:val="953A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0B18F5"/>
    <w:multiLevelType w:val="hybridMultilevel"/>
    <w:tmpl w:val="408CB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8"/>
  </w:num>
  <w:num w:numId="3" w16cid:durableId="611589570">
    <w:abstractNumId w:val="3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2"/>
  </w:num>
  <w:num w:numId="16" w16cid:durableId="898320195">
    <w:abstractNumId w:val="24"/>
  </w:num>
  <w:num w:numId="17" w16cid:durableId="2128498676">
    <w:abstractNumId w:val="42"/>
  </w:num>
  <w:num w:numId="18" w16cid:durableId="299724409">
    <w:abstractNumId w:val="34"/>
  </w:num>
  <w:num w:numId="19" w16cid:durableId="214585573">
    <w:abstractNumId w:val="17"/>
  </w:num>
  <w:num w:numId="20" w16cid:durableId="1289816170">
    <w:abstractNumId w:val="19"/>
  </w:num>
  <w:num w:numId="21" w16cid:durableId="1066490929">
    <w:abstractNumId w:val="43"/>
  </w:num>
  <w:num w:numId="22" w16cid:durableId="1472481103">
    <w:abstractNumId w:val="37"/>
  </w:num>
  <w:num w:numId="23" w16cid:durableId="1997420403">
    <w:abstractNumId w:val="40"/>
  </w:num>
  <w:num w:numId="24" w16cid:durableId="33312838">
    <w:abstractNumId w:val="35"/>
  </w:num>
  <w:num w:numId="25" w16cid:durableId="507404939">
    <w:abstractNumId w:val="23"/>
  </w:num>
  <w:num w:numId="26" w16cid:durableId="1950313333">
    <w:abstractNumId w:val="30"/>
  </w:num>
  <w:num w:numId="27" w16cid:durableId="1866016584">
    <w:abstractNumId w:val="26"/>
  </w:num>
  <w:num w:numId="28" w16cid:durableId="1872722755">
    <w:abstractNumId w:val="16"/>
  </w:num>
  <w:num w:numId="29" w16cid:durableId="1951080969">
    <w:abstractNumId w:val="41"/>
  </w:num>
  <w:num w:numId="30" w16cid:durableId="109325608">
    <w:abstractNumId w:val="10"/>
  </w:num>
  <w:num w:numId="31" w16cid:durableId="1860193199">
    <w:abstractNumId w:val="29"/>
  </w:num>
  <w:num w:numId="32" w16cid:durableId="1507330056">
    <w:abstractNumId w:val="32"/>
  </w:num>
  <w:num w:numId="33" w16cid:durableId="324239286">
    <w:abstractNumId w:val="43"/>
  </w:num>
  <w:num w:numId="34" w16cid:durableId="1266424023">
    <w:abstractNumId w:val="15"/>
  </w:num>
  <w:num w:numId="35" w16cid:durableId="1258519770">
    <w:abstractNumId w:val="18"/>
  </w:num>
  <w:num w:numId="36" w16cid:durableId="1269193470">
    <w:abstractNumId w:val="43"/>
  </w:num>
  <w:num w:numId="37" w16cid:durableId="1573007317">
    <w:abstractNumId w:val="25"/>
  </w:num>
  <w:num w:numId="38" w16cid:durableId="517160457">
    <w:abstractNumId w:val="20"/>
  </w:num>
  <w:num w:numId="39" w16cid:durableId="754010972">
    <w:abstractNumId w:val="27"/>
  </w:num>
  <w:num w:numId="40" w16cid:durableId="1208763438">
    <w:abstractNumId w:val="33"/>
  </w:num>
  <w:num w:numId="41" w16cid:durableId="558639915">
    <w:abstractNumId w:val="21"/>
  </w:num>
  <w:num w:numId="42" w16cid:durableId="253976835">
    <w:abstractNumId w:val="39"/>
  </w:num>
  <w:num w:numId="43" w16cid:durableId="1698240865">
    <w:abstractNumId w:val="43"/>
  </w:num>
  <w:num w:numId="44" w16cid:durableId="760688226">
    <w:abstractNumId w:val="43"/>
  </w:num>
  <w:num w:numId="45" w16cid:durableId="566113932">
    <w:abstractNumId w:val="36"/>
  </w:num>
  <w:num w:numId="46" w16cid:durableId="1569808256">
    <w:abstractNumId w:val="22"/>
  </w:num>
  <w:num w:numId="47" w16cid:durableId="1502811650">
    <w:abstractNumId w:val="11"/>
  </w:num>
  <w:num w:numId="48" w16cid:durableId="1023285131">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2C43"/>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6FD4"/>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16D6"/>
    <w:rsid w:val="00132118"/>
    <w:rsid w:val="001344B1"/>
    <w:rsid w:val="00134671"/>
    <w:rsid w:val="0013477B"/>
    <w:rsid w:val="0013503B"/>
    <w:rsid w:val="001356EF"/>
    <w:rsid w:val="00136BE6"/>
    <w:rsid w:val="001370F9"/>
    <w:rsid w:val="00137657"/>
    <w:rsid w:val="00137956"/>
    <w:rsid w:val="00137C7B"/>
    <w:rsid w:val="00140B8C"/>
    <w:rsid w:val="00140ED6"/>
    <w:rsid w:val="00141707"/>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A7800"/>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831"/>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3A8F"/>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0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498D"/>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A7651"/>
    <w:rsid w:val="002A76AD"/>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0B5C"/>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5714E"/>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04D"/>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4EC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669"/>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A7D8E"/>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4C27"/>
    <w:rsid w:val="007150E9"/>
    <w:rsid w:val="00715ACF"/>
    <w:rsid w:val="007161D0"/>
    <w:rsid w:val="007162FB"/>
    <w:rsid w:val="00716EF1"/>
    <w:rsid w:val="007173D7"/>
    <w:rsid w:val="00717ADD"/>
    <w:rsid w:val="0072084C"/>
    <w:rsid w:val="00720AC2"/>
    <w:rsid w:val="007230D3"/>
    <w:rsid w:val="0072348D"/>
    <w:rsid w:val="007240C0"/>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A41"/>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C5C"/>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3093"/>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8E2"/>
    <w:rsid w:val="00885EAA"/>
    <w:rsid w:val="0088629C"/>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67D"/>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42E"/>
    <w:rsid w:val="009A78A9"/>
    <w:rsid w:val="009B0854"/>
    <w:rsid w:val="009B0ADA"/>
    <w:rsid w:val="009B0F2B"/>
    <w:rsid w:val="009B1482"/>
    <w:rsid w:val="009B1B86"/>
    <w:rsid w:val="009B35DC"/>
    <w:rsid w:val="009B3740"/>
    <w:rsid w:val="009B4438"/>
    <w:rsid w:val="009B5192"/>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4F76"/>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2C31"/>
    <w:rsid w:val="00A93B35"/>
    <w:rsid w:val="00A94105"/>
    <w:rsid w:val="00A946C6"/>
    <w:rsid w:val="00A94A0D"/>
    <w:rsid w:val="00A9526B"/>
    <w:rsid w:val="00A96221"/>
    <w:rsid w:val="00A96256"/>
    <w:rsid w:val="00A96A09"/>
    <w:rsid w:val="00AA0497"/>
    <w:rsid w:val="00AA0955"/>
    <w:rsid w:val="00AA1E51"/>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D7B51"/>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199E"/>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10A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574"/>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432E"/>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6C81"/>
    <w:rsid w:val="00C9794F"/>
    <w:rsid w:val="00CA0DA0"/>
    <w:rsid w:val="00CA1308"/>
    <w:rsid w:val="00CA1531"/>
    <w:rsid w:val="00CA156C"/>
    <w:rsid w:val="00CA1C61"/>
    <w:rsid w:val="00CA1FC9"/>
    <w:rsid w:val="00CA22D7"/>
    <w:rsid w:val="00CA273C"/>
    <w:rsid w:val="00CA4298"/>
    <w:rsid w:val="00CA43AA"/>
    <w:rsid w:val="00CA56E2"/>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B66"/>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0D3"/>
    <w:rsid w:val="00DD34C0"/>
    <w:rsid w:val="00DD4EA3"/>
    <w:rsid w:val="00DD5193"/>
    <w:rsid w:val="00DD5970"/>
    <w:rsid w:val="00DD6F65"/>
    <w:rsid w:val="00DD70A3"/>
    <w:rsid w:val="00DE00C8"/>
    <w:rsid w:val="00DE02C1"/>
    <w:rsid w:val="00DE0686"/>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6CA9"/>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0E66"/>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42"/>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CF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601"/>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17B"/>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25"/>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118"/>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48B5"/>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E432CF5B-2070-4D2F-8198-96D64B3C6C71}"/>
</file>

<file path=docProps/app.xml><?xml version="1.0" encoding="utf-8"?>
<Properties xmlns="http://schemas.openxmlformats.org/officeDocument/2006/extended-properties" xmlns:vt="http://schemas.openxmlformats.org/officeDocument/2006/docPropsVTypes">
  <Template>Normal.dotm</Template>
  <TotalTime>29</TotalTime>
  <Pages>4</Pages>
  <Words>729</Words>
  <Characters>4623</Characters>
  <Application>Microsoft Office Word</Application>
  <DocSecurity>0</DocSecurity>
  <Lines>85</Lines>
  <Paragraphs>56</Paragraphs>
  <ScaleCrop>false</ScaleCrop>
  <HeadingPairs>
    <vt:vector size="2" baseType="variant">
      <vt:variant>
        <vt:lpstr>Title</vt:lpstr>
      </vt:variant>
      <vt:variant>
        <vt:i4>1</vt:i4>
      </vt:variant>
    </vt:vector>
  </HeadingPairs>
  <TitlesOfParts>
    <vt:vector size="1" baseType="lpstr">
      <vt:lpstr>Crysvita 2562-A SGM 2023</vt:lpstr>
    </vt:vector>
  </TitlesOfParts>
  <Company>PCS Health Systems</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Crysvita 2562-A SGM 2023</dc:title>
  <dc:subject/>
  <dc:creator>CVS Caremark</dc:creator>
  <cp:keywords/>
  <cp:lastModifiedBy>Ortiz, Erica M</cp:lastModifiedBy>
  <cp:revision>9</cp:revision>
  <cp:lastPrinted>2018-01-09T08:01:00Z</cp:lastPrinted>
  <dcterms:created xsi:type="dcterms:W3CDTF">2025-01-08T16:09:00Z</dcterms:created>
  <dcterms:modified xsi:type="dcterms:W3CDTF">2025-01-22T22:52:00Z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12715300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